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Rubio GM, Garfias F. An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lisis comparativo sobre los programas para adultos mayores en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 [Internet]. Chile: CEPAL. Divisi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Desarrollo Social; 2010. 51 p. (Pol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sociales). Disponible en: http://www.cepal.org/publicaciones/xml/0/39750/sps161</w:t>
      </w:r>
      <w:r>
        <w:rPr>
          <w:rFonts w:ascii="Times New Roman" w:hAnsi="Times New Roman" w:cs="Times New Roman"/>
          <w:sz w:val="24"/>
          <w:szCs w:val="24"/>
        </w:rPr>
        <w:t>-adultos.pdf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Construyendo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p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blicas para una sociedad que envejece. Chile: Corporaci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n, Estudio y Desarrollo de la Seguridad Social: Caja Los Andes: Universidad de Chile. Facultad de Medicina; 2008. 137 p. 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Consejo Nacional de Poblaci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Diagn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stico socio-demogr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fico del envejecimiento en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CONAPO: SEGOB; 2011. 72 p. (Serie Documentos 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cnicos). Disponible en: http://www.gerontologia.org/portal/archivosUpload/mexico-envejecimiento_unf</w:t>
      </w:r>
      <w:r>
        <w:rPr>
          <w:rFonts w:ascii="Times New Roman" w:hAnsi="Times New Roman" w:cs="Times New Roman"/>
          <w:sz w:val="24"/>
          <w:szCs w:val="24"/>
        </w:rPr>
        <w:t>pa-2011.pdf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nchez 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S. El envejecimiento de la poblaci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y la salud bucodental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CIESS; 2013. 61 p. (Breviarios de seguridad social. Salud: el reto del bienestar.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n). Disponible en: http://biblioteca.ciess.org/adiss</w:t>
      </w:r>
      <w:r>
        <w:rPr>
          <w:rFonts w:ascii="Times New Roman" w:hAnsi="Times New Roman" w:cs="Times New Roman"/>
          <w:sz w:val="24"/>
          <w:szCs w:val="24"/>
        </w:rPr>
        <w:t>/r46/el_envejecimiento_de_la_poblacin_y_la_salud_bucodental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Huenchan S. Envejecimiento e institucionalidad p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blica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y el Caribe: conceptos, metodolog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as y casos pr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cticos [Internet]. Chile: CEPAL: Cooperaci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para el Desa</w:t>
      </w:r>
      <w:r>
        <w:rPr>
          <w:rFonts w:ascii="Times New Roman" w:hAnsi="Times New Roman" w:cs="Times New Roman"/>
          <w:sz w:val="24"/>
          <w:szCs w:val="24"/>
        </w:rPr>
        <w:t>rrollo; 2016. 236 p. Disponible en: http://repositorio.cepal.org/bitstream/handle/11362/40197/1/S1600435_es.pdf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Prado A. Envejecimiento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Latina: sistemas de pensiones y protecci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social integral [Internet]. Sojo A, editor. Chile: CEPAL: Mini</w:t>
      </w:r>
      <w:r>
        <w:rPr>
          <w:rFonts w:ascii="Times New Roman" w:hAnsi="Times New Roman" w:cs="Times New Roman"/>
          <w:sz w:val="24"/>
          <w:szCs w:val="24"/>
        </w:rPr>
        <w:t>sterio Federal de Cooperaci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Econ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mica y Desarrollo; 2010. 298 p. (Libros de la CEPAL). Disponible en: http://www.eclac.org/publicaciones/xml/8/42048/2010-741-LBC-110.pdf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Envejecimiento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y El Caribe. Enfoques en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y docenc</w:t>
      </w:r>
      <w:r>
        <w:rPr>
          <w:rFonts w:ascii="Times New Roman" w:hAnsi="Times New Roman" w:cs="Times New Roman"/>
          <w:sz w:val="24"/>
          <w:szCs w:val="24"/>
        </w:rPr>
        <w:t>ia de la Red Latinoamericana de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en Envejecimiento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UNAM. Instituto de Investigaciones Sociales; 2013. 671 p. Disponible en: http://ru.iis.sociales.unam.mx/jspui/handle/IIS/4567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Jackson R, Nakashima K. Envejecimiento glo</w:t>
      </w:r>
      <w:r>
        <w:rPr>
          <w:rFonts w:ascii="Times New Roman" w:hAnsi="Times New Roman" w:cs="Times New Roman"/>
          <w:sz w:val="24"/>
          <w:szCs w:val="24"/>
        </w:rPr>
        <w:t>bal y seguridad previsional en las econom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as emergentes: reconsiderando sistemas de capitalizaci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[Internet]. Alexandria, Estados Unidos: Global Ageing Institute: Principal International; 2015. 52 p. Disponible en: http://www.principal.com.mx/export/sites</w:t>
      </w:r>
      <w:r>
        <w:rPr>
          <w:rFonts w:ascii="Times New Roman" w:hAnsi="Times New Roman" w:cs="Times New Roman"/>
          <w:sz w:val="24"/>
          <w:szCs w:val="24"/>
        </w:rPr>
        <w:t>/principal-financial-group/es/acerca-de-principal/educacion-financiera/Estudios_principal/.galleries/Estudios/GAI_envejecimiento_global_economias_emergentes.pdf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Envejecimiento humano: una visi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transdisciplinaria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Secretar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de Salu</w:t>
      </w:r>
      <w:r>
        <w:rPr>
          <w:rFonts w:ascii="Times New Roman" w:hAnsi="Times New Roman" w:cs="Times New Roman"/>
          <w:sz w:val="24"/>
          <w:szCs w:val="24"/>
        </w:rPr>
        <w:t>d. Instituto de Geriatr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a; 2010. 402 p. Disponible en: http://www.geriatria.salud.gob.mx/interior/publicaciones_ig.html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Huenchuan S. Envejecimiento, solidaridad y protecci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social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y el Caribe: la hora de avanzar hacia la igualdad [I</w:t>
      </w:r>
      <w:r>
        <w:rPr>
          <w:rFonts w:ascii="Times New Roman" w:hAnsi="Times New Roman" w:cs="Times New Roman"/>
          <w:sz w:val="24"/>
          <w:szCs w:val="24"/>
        </w:rPr>
        <w:t>nternet]. Santiago de Chile: CEPAL; 2013. 183 p. (Libros de la CEPAL). Disponible en: http://www.cepal.org/publicaciones/xml/9/49299/2012-913-LBC_117_WEB.pdf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>Bazo Bayo MT, 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Sanz B. Envejecimiento y sociedad: una perspectiva internacional. 2a ed.</w:t>
      </w:r>
      <w:r>
        <w:rPr>
          <w:rFonts w:ascii="Times New Roman" w:hAnsi="Times New Roman" w:cs="Times New Roman"/>
          <w:sz w:val="24"/>
          <w:szCs w:val="24"/>
        </w:rPr>
        <w:t xml:space="preserve"> Argentina: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dica Panamericana; 2006. 186 p. 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  <w:t>Informe 2014: envejecimiento activo en las mujeres mayores [Internet].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Federaci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Pensionistas y Jubilados de CCOO; 2014. 52 p. Disponible en: http://www.pensionistas.ccoo.es/comunes/recursos/2</w:t>
      </w:r>
      <w:r>
        <w:rPr>
          <w:rFonts w:ascii="Times New Roman" w:hAnsi="Times New Roman" w:cs="Times New Roman"/>
          <w:sz w:val="24"/>
          <w:szCs w:val="24"/>
        </w:rPr>
        <w:t>8/pub119123_Informe_2014__Envejecimiento_Activo_en_las_Mujeres_Mayores.pdf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az-Tendero Bollain A. La teor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de la Econom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 del envejecimiento: un nuevo enfoque para la Gerontolog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social en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Porr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a; 2006. 464 p. Di</w:t>
      </w:r>
      <w:r>
        <w:rPr>
          <w:rFonts w:ascii="Times New Roman" w:hAnsi="Times New Roman" w:cs="Times New Roman"/>
          <w:sz w:val="24"/>
          <w:szCs w:val="24"/>
        </w:rPr>
        <w:t>sponible en: http://biblioteca.ciess.org:8081/cgi-bin/koha/opac-detail.pl?biblionumber=27435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  <w:t>Blanco RA. La vejez y el envejecimiento en el siglo XXI [Internet]. Argentina: Dunken; 2009. 254 p. Disponible en: http://biblioteca.ciess.org:8081/cgi-bin/ko</w:t>
      </w:r>
      <w:r>
        <w:rPr>
          <w:rFonts w:ascii="Times New Roman" w:hAnsi="Times New Roman" w:cs="Times New Roman"/>
          <w:sz w:val="24"/>
          <w:szCs w:val="24"/>
        </w:rPr>
        <w:t>ha/opac-detail.pl?biblionumber=26791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  <w:t>Roqu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ML, editor. Manual de cuidados domiciliarios: aprendiendo estrategias para cuidar mejor: primera parte [Internet]. Argentina: Ministerio de Desarrollo Social. Secretar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Nacional de Ni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ez, Adolescencia y Fami</w:t>
      </w:r>
      <w:r>
        <w:rPr>
          <w:rFonts w:ascii="Times New Roman" w:hAnsi="Times New Roman" w:cs="Times New Roman"/>
          <w:sz w:val="24"/>
          <w:szCs w:val="24"/>
        </w:rPr>
        <w:t>lia; 2010. 208 p. (Manual de cuidados domiciliarios cuadernillo). Disponible en: http://www.desarrollosocial.gob.ar/Uploads/i1/cuidadores%20cuader%202%20web.pdf</w:t>
      </w:r>
    </w:p>
    <w:p w:rsidR="00000000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  <w:t>Trabajo y envejecimiento: teor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as emergentes y perspectivas emp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ricas [Internet]. Chile: C</w:t>
      </w:r>
      <w:r>
        <w:rPr>
          <w:rFonts w:ascii="Times New Roman" w:hAnsi="Times New Roman" w:cs="Times New Roman"/>
          <w:sz w:val="24"/>
          <w:szCs w:val="24"/>
        </w:rPr>
        <w:t>onferencia Interamericana de Seguridad Social: Corporaci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n, Estudio y Desarrollo de la Seguridad Social: Cajas de Chile; 2012. 376 p. Disponible en: http://biblioteca.ciess.org:8081/cgi-bin/koha/opac-detail.pl?biblionumber=27383</w:t>
      </w:r>
    </w:p>
    <w:p w:rsidR="006C27E3" w:rsidRDefault="006C27E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>elo J, Masetti M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 Alfaya L, Altalef E. Una d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cada dedicada a la gerontolog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CIESS; 2009. 82 p. (Breviarios.. Salud: el reto del bienestar.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n). Disponible en: http://biblioteca.ciess.org/adiss/r38/una_dcada_dedicada_a_la_ge</w:t>
      </w:r>
      <w:r>
        <w:rPr>
          <w:rFonts w:ascii="Times New Roman" w:hAnsi="Times New Roman" w:cs="Times New Roman"/>
          <w:sz w:val="24"/>
          <w:szCs w:val="24"/>
        </w:rPr>
        <w:t>rontologa</w:t>
      </w:r>
    </w:p>
    <w:sectPr w:rsidR="006C27E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AD"/>
    <w:rsid w:val="004032AD"/>
    <w:rsid w:val="006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AC975C4-A761-445E-B25E-9529E808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2</cp:revision>
  <dcterms:created xsi:type="dcterms:W3CDTF">2017-05-12T15:12:00Z</dcterms:created>
  <dcterms:modified xsi:type="dcterms:W3CDTF">2017-05-12T15:12:00Z</dcterms:modified>
</cp:coreProperties>
</file>