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C024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Uthoff A. Aspectos institucionales de los sistemas de pensiones en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Latina [Internet]. Santiago de Chile: Comisi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Econ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mica para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Latina y el Caribe. Divisi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Desarrollo Social; 2016 [citado el 30 de junio de 2017]. 70 p. (Pol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ticas s</w:t>
      </w:r>
      <w:r>
        <w:rPr>
          <w:rFonts w:ascii="Times New Roman" w:hAnsi="Times New Roman" w:cs="Times New Roman"/>
          <w:sz w:val="24"/>
          <w:szCs w:val="24"/>
        </w:rPr>
        <w:t>ociales). Disponible en: http://repositorio.cepal.org/bitstream/handle/11362/40869/1/S1601271_es.pdf</w:t>
      </w:r>
    </w:p>
    <w:p w:rsidR="00000000" w:rsidRDefault="009C024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El futuro de las pensiones: desarrollo de los programas de capitalizaci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 individual: Seminario internacional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El futuro de las pensiones: desarrollo de los programas de capitalizaci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individual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28-29 mayo 2008 [Internet]. Per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: Federaci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Internacional de Administradoras de Fondos de Pensiones: Universidad del Pac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fico. Centro de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n; 2009 [citado el </w:t>
      </w:r>
      <w:r>
        <w:rPr>
          <w:rFonts w:ascii="Times New Roman" w:hAnsi="Times New Roman" w:cs="Times New Roman"/>
          <w:sz w:val="24"/>
          <w:szCs w:val="24"/>
        </w:rPr>
        <w:t>30 de junio de 2017]. 480 p. Disponible en: http://www.fiap.cl/prontus_fiap/site/artic/20090922/asocfile/20090922120013/el_futuro_de_las_pensiones_desarrollo_de_los_programas_de_capitalizacion_individual_esp.pdf</w:t>
      </w:r>
    </w:p>
    <w:p w:rsidR="00000000" w:rsidRDefault="009C024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Pieschac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Velasco C. El seguro de pensi</w:t>
      </w:r>
      <w:r>
        <w:rPr>
          <w:rFonts w:ascii="Times New Roman" w:hAnsi="Times New Roman" w:cs="Times New Roman"/>
          <w:sz w:val="24"/>
          <w:szCs w:val="24"/>
        </w:rPr>
        <w:t>ones. Madrid,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Fundaci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MAPFRE; 2007. 147 p. (Colecci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Estudios y monograf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as). </w:t>
      </w:r>
    </w:p>
    <w:p w:rsidR="00000000" w:rsidRDefault="009C024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Jackson R, Nakashima K. Envejecimiento global y seguridad previsional en las econom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as emergentes: reconsiderando sistemas de capitalizaci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[Internet]. Alexandri</w:t>
      </w:r>
      <w:r>
        <w:rPr>
          <w:rFonts w:ascii="Times New Roman" w:hAnsi="Times New Roman" w:cs="Times New Roman"/>
          <w:sz w:val="24"/>
          <w:szCs w:val="24"/>
        </w:rPr>
        <w:t>a, Estados Unidos: Global Ageing Institute: Principal International; 2015 [citado el 30 de junio de 2017]. 52 p. Disponible en: http://www.principal.com.mx/export/sites/principal-financial-group/es/acerca-de-principal/educacion-financiera/Estudios_principa</w:t>
      </w:r>
      <w:r>
        <w:rPr>
          <w:rFonts w:ascii="Times New Roman" w:hAnsi="Times New Roman" w:cs="Times New Roman"/>
          <w:sz w:val="24"/>
          <w:szCs w:val="24"/>
        </w:rPr>
        <w:t>l/.galleries/Estudios/GAI_envejecimiento_global_economias_emergentes.pdf</w:t>
      </w:r>
    </w:p>
    <w:p w:rsidR="00000000" w:rsidRDefault="009C024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Estudios sobre Seguridad Social: 60 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os de la Organizaci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Iberoamericana de la Seguridad Social [Internet].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Organizaci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Iberoamericana de Seguridad Social; 2014 [citado</w:t>
      </w:r>
      <w:r>
        <w:rPr>
          <w:rFonts w:ascii="Times New Roman" w:hAnsi="Times New Roman" w:cs="Times New Roman"/>
          <w:sz w:val="24"/>
          <w:szCs w:val="24"/>
        </w:rPr>
        <w:t xml:space="preserve"> el 30 de junio de 2017]. 492 p. Disponible en: http://www.oiss.org/IMG/pdf/Libro_OISS_60_aniversario_web.pdf</w:t>
      </w:r>
    </w:p>
    <w:p w:rsidR="00000000" w:rsidRDefault="009C024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Arthur G, Valdivieso L, Canta M. Fortaleciendo los cimientos del sistema de capitalizaci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individual para asegurar su sostenibilidad: present</w:t>
      </w:r>
      <w:r>
        <w:rPr>
          <w:rFonts w:ascii="Times New Roman" w:hAnsi="Times New Roman" w:cs="Times New Roman"/>
          <w:sz w:val="24"/>
          <w:szCs w:val="24"/>
        </w:rPr>
        <w:t>aciones del seminario internacional [Internet]. Chile: Federaci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Internacional de Administradoras de Fondos de Pensiones; 2014 [citado el 30 de junio de 2017]. 408 p. Disponible en: http://www.fiap.cl/prontus_fiap/site/artic/20150311/asocfile/201503111801</w:t>
      </w:r>
      <w:r>
        <w:rPr>
          <w:rFonts w:ascii="Times New Roman" w:hAnsi="Times New Roman" w:cs="Times New Roman"/>
          <w:sz w:val="24"/>
          <w:szCs w:val="24"/>
        </w:rPr>
        <w:t>52/peru_2014_esp_completo_.pdf</w:t>
      </w:r>
    </w:p>
    <w:p w:rsidR="00000000" w:rsidRDefault="009C024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>Escriv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JL, Fuentes E, Garc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Herrero A, editores. Las reformas de los sistemas de pensiones en Latinoam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rica. Avances y temas pendientes [Internet].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BBVA Research; 2010 [citado el 30 de junio de 2017]. 379 p. Dis</w:t>
      </w:r>
      <w:r>
        <w:rPr>
          <w:rFonts w:ascii="Times New Roman" w:hAnsi="Times New Roman" w:cs="Times New Roman"/>
          <w:sz w:val="24"/>
          <w:szCs w:val="24"/>
        </w:rPr>
        <w:t>ponible en: http://www.bbvaresearch.com/KETD/fbin/mult/Lasreformasdelossistemasdepensionesenlatinoamerica_tcm346-238550.pdf?ts=1242011</w:t>
      </w:r>
    </w:p>
    <w:p w:rsidR="00000000" w:rsidRDefault="009C024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>Rofman R, Apella I, Vezza E, editores. M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 all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de las pensiones contributivas: catorce experiencias en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Latin</w:t>
      </w:r>
      <w:r>
        <w:rPr>
          <w:rFonts w:ascii="Times New Roman" w:hAnsi="Times New Roman" w:cs="Times New Roman"/>
          <w:sz w:val="24"/>
          <w:szCs w:val="24"/>
        </w:rPr>
        <w:t>a [Internet]. Buenos Aires, Argentina: Banco Mundial; 2013 [citado el 30 de junio de 2017]. 498 p. Disponible en: http://documents.worldbank.org/curated/en/624841468047055585/pdf/827240WP0P1</w:t>
      </w:r>
      <w:r>
        <w:rPr>
          <w:rFonts w:ascii="Times New Roman" w:hAnsi="Times New Roman" w:cs="Times New Roman"/>
          <w:sz w:val="24"/>
          <w:szCs w:val="24"/>
        </w:rPr>
        <w:lastRenderedPageBreak/>
        <w:t>2960siones0contributivas.pdf</w:t>
      </w:r>
    </w:p>
    <w:p w:rsidR="00000000" w:rsidRDefault="009C024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 xml:space="preserve">Bosch M, Melguizo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, Pag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 xml:space="preserve"> C. Me</w:t>
      </w:r>
      <w:r>
        <w:rPr>
          <w:rFonts w:ascii="Times New Roman" w:hAnsi="Times New Roman" w:cs="Times New Roman"/>
          <w:sz w:val="24"/>
          <w:szCs w:val="24"/>
        </w:rPr>
        <w:t>jores pensiones, mejores trabajos: hacia la cobertura universal en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Latina y el Caribe [Internet]. 2a ed. Estados Unidos: BID; 2013 [citado el 30 de junio de 2017]. 239 p. Disponible en: http://idbdocs.iadb.org/wsdocs/getdocument.aspx?docnum=3816097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00000" w:rsidRDefault="009C024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  <w:t>Melbourne Mercer Global Pension Index [Internet]. Australia: Australian Centre for Financial Studies; 2016 [citado el 30 de junio de 2017]. 87 p. Disponible en: http://www.globalpensionindex.com/wp-content/uploads/MMGPI2016-Report.pdf</w:t>
      </w:r>
    </w:p>
    <w:p w:rsidR="00000000" w:rsidRDefault="009C024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  <w:t>Morales R</w:t>
      </w:r>
      <w:r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rez MA. Modelos de financiamiento de las pensiones de vejez: hacia una viabilidad social y financiera.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Porr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a: UNAM. Instituto de Investigaciones Jur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dicas; 2012. xviii, 357. (Doctrina jur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dica). </w:t>
      </w:r>
    </w:p>
    <w:p w:rsidR="00000000" w:rsidRDefault="009C024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  <w:t>Aguirre Far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as FM. Pensiones...</w:t>
      </w:r>
      <w:r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y con qu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xico: Fineo; 2012. 203 p. </w:t>
      </w:r>
    </w:p>
    <w:p w:rsidR="00000000" w:rsidRDefault="009C024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  <w:t>Pensions at a Glance 2015: OECD and G20 Indicators [Internet]. France: OECD; 2015 [citado el 30 de junio de 2017]. 374 p. Disponible en: http://www.oecd-ilibrary.org/docserver/download/8115201e.pdf?expires=1473438582&amp;id=id</w:t>
      </w:r>
      <w:r>
        <w:rPr>
          <w:rFonts w:ascii="Times New Roman" w:hAnsi="Times New Roman" w:cs="Times New Roman"/>
          <w:sz w:val="24"/>
          <w:szCs w:val="24"/>
        </w:rPr>
        <w:t>&amp;accname=guest&amp;checksum=7603A0F752E4EC277306FE299F960460</w:t>
      </w:r>
    </w:p>
    <w:p w:rsidR="009C024D" w:rsidRDefault="009C024D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ab/>
        <w:t xml:space="preserve">Arthur G, editor. Seminario Internacional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El Ahorro individual: mejores pensiones y m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 desarrollo econ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mico, los d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as 11 y 12 de abril de 2013, Colombia [Internet]. Santiago de Chile: FIAP; 20</w:t>
      </w:r>
      <w:r>
        <w:rPr>
          <w:rFonts w:ascii="Times New Roman" w:hAnsi="Times New Roman" w:cs="Times New Roman"/>
          <w:sz w:val="24"/>
          <w:szCs w:val="24"/>
        </w:rPr>
        <w:t>13 [citado el 30 de junio de 2017]. 314 p. Disponible en: http://www.fiap.cl/prontus_fiap/site/artic/20140113/asocfile/20140113182343/fiap_colombia_2013_esp_completo.pdf</w:t>
      </w:r>
    </w:p>
    <w:sectPr w:rsidR="009C024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BA"/>
    <w:rsid w:val="009C024D"/>
    <w:rsid w:val="00C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314BD5-70D3-4E3A-9D24-00888EAE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Ernesto</cp:lastModifiedBy>
  <cp:revision>2</cp:revision>
  <dcterms:created xsi:type="dcterms:W3CDTF">2017-06-30T21:27:00Z</dcterms:created>
  <dcterms:modified xsi:type="dcterms:W3CDTF">2017-06-30T21:27:00Z</dcterms:modified>
</cp:coreProperties>
</file>